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B139EE" w:rsidP="0024393D">
            <w:pPr>
              <w:spacing w:line="360" w:lineRule="auto"/>
              <w:jc w:val="right"/>
              <w:rPr>
                <w:bCs/>
              </w:rPr>
            </w:pPr>
            <w:r>
              <w:rPr>
                <w:bCs/>
                <w:lang w:eastAsia="zh-CN"/>
              </w:rPr>
              <w:t>«20» апреля 2022 г.</w:t>
            </w:r>
            <w:bookmarkStart w:id="0" w:name="_GoBack"/>
            <w:bookmarkEnd w:id="0"/>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AC56A8" w:rsidP="0024393D">
            <w:pPr>
              <w:spacing w:line="480" w:lineRule="auto"/>
              <w:jc w:val="center"/>
              <w:rPr>
                <w:b/>
                <w:bCs/>
                <w:smallCaps/>
                <w:lang w:eastAsia="zh-CN"/>
              </w:rPr>
            </w:pPr>
            <w:r w:rsidRPr="00522C98">
              <w:rPr>
                <w:b/>
                <w:sz w:val="28"/>
                <w:szCs w:val="28"/>
              </w:rPr>
              <w:t>Б1.О.06</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AC56A8" w:rsidP="0024393D">
            <w:pPr>
              <w:spacing w:line="480" w:lineRule="auto"/>
              <w:jc w:val="center"/>
              <w:rPr>
                <w:b/>
                <w:bCs/>
                <w:smallCaps/>
                <w:sz w:val="28"/>
                <w:szCs w:val="28"/>
                <w:lang w:eastAsia="zh-CN"/>
              </w:rPr>
            </w:pPr>
            <w:r w:rsidRPr="00522C98">
              <w:rPr>
                <w:b/>
                <w:sz w:val="28"/>
                <w:szCs w:val="28"/>
              </w:rPr>
              <w:t>ИНОСТРАННЫЙ ЯЗЫК</w:t>
            </w: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DA3C63" w:rsidP="003F321E">
            <w:pPr>
              <w:spacing w:before="240" w:line="360" w:lineRule="auto"/>
              <w:rPr>
                <w:b/>
                <w:bCs/>
                <w:i/>
                <w:color w:val="FF0000"/>
                <w:lang w:eastAsia="zh-CN"/>
              </w:rPr>
            </w:pPr>
            <w:r w:rsidRPr="00C21B15">
              <w:rPr>
                <w:b/>
                <w:bCs/>
                <w:lang w:eastAsia="zh-CN"/>
              </w:rPr>
              <w:t>«Оркестровые духовые и ударные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DA3C63" w:rsidP="003F321E">
            <w:pPr>
              <w:spacing w:before="240" w:line="360" w:lineRule="auto"/>
              <w:rPr>
                <w:b/>
                <w:bCs/>
                <w:lang w:eastAsia="zh-CN"/>
              </w:rPr>
            </w:pPr>
            <w:r w:rsidRPr="00C21B15">
              <w:rPr>
                <w:b/>
              </w:rPr>
              <w:t>Артист ансамбля. Артист оркестра. Преподаватель. Руководитель творческого коллектива.</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C1171E" w:rsidP="003F321E">
            <w:pPr>
              <w:spacing w:before="240" w:line="360" w:lineRule="auto"/>
              <w:rPr>
                <w:b/>
                <w:bCs/>
                <w:lang w:eastAsia="zh-CN"/>
              </w:rPr>
            </w:pPr>
            <w:r>
              <w:rPr>
                <w:b/>
                <w:bCs/>
                <w:lang w:eastAsia="zh-CN"/>
              </w:rPr>
              <w:t>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372DB3" w:rsidP="003F321E">
            <w:pPr>
              <w:spacing w:before="240" w:line="360" w:lineRule="auto"/>
              <w:rPr>
                <w:b/>
                <w:bCs/>
                <w:lang w:eastAsia="zh-CN"/>
              </w:rPr>
            </w:pPr>
            <w:r>
              <w:rPr>
                <w:b/>
                <w:bCs/>
                <w:lang w:eastAsia="zh-CN"/>
              </w:rPr>
              <w:t>2022</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477BC6" w:rsidTr="00D12DBB">
        <w:tc>
          <w:tcPr>
            <w:tcW w:w="1908" w:type="pct"/>
            <w:gridSpan w:val="3"/>
          </w:tcPr>
          <w:p w:rsidR="00477BC6" w:rsidRDefault="00477BC6" w:rsidP="00477BC6">
            <w:pPr>
              <w:spacing w:line="276" w:lineRule="auto"/>
              <w:jc w:val="both"/>
              <w:rPr>
                <w:u w:val="single"/>
                <w:lang w:eastAsia="zh-CN"/>
              </w:rPr>
            </w:pPr>
            <w:r>
              <w:rPr>
                <w:lang w:eastAsia="zh-CN"/>
              </w:rPr>
              <w:lastRenderedPageBreak/>
              <w:t xml:space="preserve">Методические рекомендации по дисциплине </w:t>
            </w:r>
          </w:p>
        </w:tc>
        <w:tc>
          <w:tcPr>
            <w:tcW w:w="3092" w:type="pct"/>
          </w:tcPr>
          <w:p w:rsidR="00477BC6" w:rsidRPr="00E57B8C" w:rsidRDefault="00AC56A8" w:rsidP="00D12DBB">
            <w:pPr>
              <w:spacing w:line="276" w:lineRule="auto"/>
              <w:jc w:val="center"/>
              <w:rPr>
                <w:u w:val="single"/>
                <w:lang w:eastAsia="zh-CN"/>
              </w:rPr>
            </w:pPr>
            <w:r w:rsidRPr="00522C98">
              <w:rPr>
                <w:b/>
                <w:sz w:val="28"/>
                <w:szCs w:val="28"/>
              </w:rPr>
              <w:t>ИНОСТРАННЫЙ ЯЗЫК</w:t>
            </w:r>
          </w:p>
        </w:tc>
      </w:tr>
      <w:tr w:rsidR="00477BC6" w:rsidTr="00D12DBB">
        <w:tc>
          <w:tcPr>
            <w:tcW w:w="1908" w:type="pct"/>
            <w:gridSpan w:val="3"/>
          </w:tcPr>
          <w:p w:rsidR="00477BC6" w:rsidRDefault="00477BC6" w:rsidP="00D12DBB">
            <w:pPr>
              <w:spacing w:line="276" w:lineRule="auto"/>
              <w:jc w:val="both"/>
              <w:rPr>
                <w:lang w:eastAsia="zh-CN"/>
              </w:rPr>
            </w:pPr>
          </w:p>
        </w:tc>
        <w:tc>
          <w:tcPr>
            <w:tcW w:w="3092" w:type="pct"/>
          </w:tcPr>
          <w:p w:rsidR="00477BC6" w:rsidRDefault="00477BC6" w:rsidP="00D12DBB">
            <w:pPr>
              <w:spacing w:line="276" w:lineRule="auto"/>
              <w:jc w:val="both"/>
              <w:rPr>
                <w:lang w:eastAsia="zh-CN"/>
              </w:rPr>
            </w:pPr>
          </w:p>
        </w:tc>
      </w:tr>
      <w:tr w:rsidR="00477BC6" w:rsidTr="00D12DBB">
        <w:tc>
          <w:tcPr>
            <w:tcW w:w="1908" w:type="pct"/>
            <w:gridSpan w:val="3"/>
          </w:tcPr>
          <w:p w:rsidR="00477BC6" w:rsidRPr="00BA4616" w:rsidRDefault="00477BC6" w:rsidP="00D12DBB">
            <w:pPr>
              <w:spacing w:line="276" w:lineRule="auto"/>
              <w:jc w:val="both"/>
              <w:rPr>
                <w:lang w:eastAsia="zh-CN"/>
              </w:rPr>
            </w:pPr>
            <w:r>
              <w:rPr>
                <w:lang w:eastAsia="zh-CN"/>
              </w:rPr>
              <w:t>Разработаны</w:t>
            </w:r>
            <w:r w:rsidRPr="00BA4616">
              <w:rPr>
                <w:lang w:eastAsia="zh-CN"/>
              </w:rPr>
              <w:t xml:space="preserve">  в соответствии </w:t>
            </w:r>
          </w:p>
          <w:p w:rsidR="00477BC6" w:rsidRPr="00BA4616" w:rsidRDefault="00477BC6" w:rsidP="00D12DBB">
            <w:pPr>
              <w:spacing w:line="276" w:lineRule="auto"/>
              <w:jc w:val="both"/>
              <w:rPr>
                <w:lang w:eastAsia="zh-CN"/>
              </w:rPr>
            </w:pPr>
            <w:r w:rsidRPr="00BA4616">
              <w:rPr>
                <w:lang w:eastAsia="zh-CN"/>
              </w:rPr>
              <w:t>с требованиями ФГОС ВО:</w:t>
            </w:r>
          </w:p>
          <w:p w:rsidR="00477BC6" w:rsidRPr="00BA4616" w:rsidRDefault="00477BC6" w:rsidP="00D12DBB">
            <w:pPr>
              <w:spacing w:line="276" w:lineRule="auto"/>
              <w:jc w:val="both"/>
              <w:rPr>
                <w:u w:val="single"/>
                <w:lang w:eastAsia="zh-CN"/>
              </w:rPr>
            </w:pPr>
          </w:p>
        </w:tc>
        <w:tc>
          <w:tcPr>
            <w:tcW w:w="3092" w:type="pct"/>
          </w:tcPr>
          <w:p w:rsidR="00477BC6" w:rsidRPr="00BA4616" w:rsidRDefault="00477BC6" w:rsidP="00D12DBB">
            <w:pPr>
              <w:spacing w:line="276" w:lineRule="auto"/>
              <w:jc w:val="both"/>
              <w:rPr>
                <w:b/>
                <w:lang w:eastAsia="zh-CN"/>
              </w:rPr>
            </w:pPr>
            <w:r w:rsidRPr="00BA4616">
              <w:rPr>
                <w:b/>
                <w:lang w:eastAsia="zh-CN"/>
              </w:rPr>
              <w:t xml:space="preserve">53.03.02  </w:t>
            </w:r>
            <w:r w:rsidRPr="00BA4616">
              <w:rPr>
                <w:lang w:eastAsia="zh-CN"/>
              </w:rPr>
              <w:t xml:space="preserve">«Музыкально-инструментальное искусство» профиль «Оркестровые духовые и ударные инструменты» </w:t>
            </w:r>
          </w:p>
        </w:tc>
      </w:tr>
      <w:tr w:rsidR="00477BC6" w:rsidTr="00D12DBB">
        <w:trPr>
          <w:trHeight w:val="339"/>
        </w:trPr>
        <w:tc>
          <w:tcPr>
            <w:tcW w:w="5000" w:type="pct"/>
            <w:gridSpan w:val="4"/>
          </w:tcPr>
          <w:p w:rsidR="00477BC6" w:rsidRPr="00BA4616" w:rsidRDefault="00477BC6" w:rsidP="00D12DBB">
            <w:pPr>
              <w:spacing w:line="276" w:lineRule="auto"/>
              <w:jc w:val="both"/>
              <w:rPr>
                <w:lang w:eastAsia="zh-CN"/>
              </w:rPr>
            </w:pPr>
          </w:p>
        </w:tc>
      </w:tr>
      <w:tr w:rsidR="00477BC6" w:rsidTr="00D12DBB">
        <w:trPr>
          <w:trHeight w:val="339"/>
        </w:trPr>
        <w:tc>
          <w:tcPr>
            <w:tcW w:w="5000" w:type="pct"/>
            <w:gridSpan w:val="4"/>
          </w:tcPr>
          <w:p w:rsidR="00477BC6" w:rsidRPr="00BA4616" w:rsidRDefault="00477BC6" w:rsidP="00D12DBB">
            <w:pPr>
              <w:spacing w:line="276" w:lineRule="auto"/>
              <w:jc w:val="both"/>
              <w:rPr>
                <w:u w:val="single"/>
                <w:lang w:eastAsia="zh-CN"/>
              </w:rPr>
            </w:pPr>
            <w:r w:rsidRPr="00BA4616">
              <w:rPr>
                <w:lang w:eastAsia="zh-CN"/>
              </w:rPr>
              <w:t>(приказ № 730 Минобрнауки России от 01 августа 2017 г.)</w:t>
            </w:r>
          </w:p>
        </w:tc>
      </w:tr>
      <w:tr w:rsidR="00477BC6" w:rsidTr="00D12DBB">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jc w:val="both"/>
              <w:rPr>
                <w:lang w:eastAsia="zh-CN"/>
              </w:rPr>
            </w:pPr>
          </w:p>
        </w:tc>
      </w:tr>
      <w:tr w:rsidR="00477BC6" w:rsidTr="00D12DBB">
        <w:tc>
          <w:tcPr>
            <w:tcW w:w="968" w:type="pct"/>
          </w:tcPr>
          <w:p w:rsidR="00477BC6" w:rsidRPr="00B52F03" w:rsidRDefault="00477BC6" w:rsidP="00D12DBB">
            <w:pPr>
              <w:spacing w:line="276" w:lineRule="auto"/>
              <w:jc w:val="both"/>
              <w:rPr>
                <w:u w:val="single"/>
                <w:lang w:eastAsia="zh-CN"/>
              </w:rPr>
            </w:pPr>
            <w:r w:rsidRPr="00B52F03">
              <w:rPr>
                <w:lang w:eastAsia="zh-CN"/>
              </w:rPr>
              <w:t xml:space="preserve">Составитель(и):  </w:t>
            </w:r>
          </w:p>
        </w:tc>
        <w:tc>
          <w:tcPr>
            <w:tcW w:w="4032" w:type="pct"/>
            <w:gridSpan w:val="3"/>
          </w:tcPr>
          <w:p w:rsidR="00477BC6" w:rsidRPr="00B52F03" w:rsidRDefault="00477BC6" w:rsidP="00D12DBB">
            <w:pPr>
              <w:spacing w:line="276" w:lineRule="auto"/>
              <w:jc w:val="both"/>
              <w:rPr>
                <w:lang w:eastAsia="zh-CN"/>
              </w:rPr>
            </w:pPr>
          </w:p>
        </w:tc>
      </w:tr>
      <w:tr w:rsidR="00AC56A8"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522C98" w:rsidRDefault="00AC56A8" w:rsidP="007634FF">
            <w:pPr>
              <w:jc w:val="both"/>
              <w:rPr>
                <w:rFonts w:eastAsia="Calibri"/>
              </w:rPr>
            </w:pPr>
            <w:r w:rsidRPr="00522C98">
              <w:rPr>
                <w:color w:val="333333"/>
                <w:shd w:val="clear" w:color="auto" w:fill="FFFFFF"/>
              </w:rPr>
              <w:t>Кандидат искусствоведения,</w:t>
            </w:r>
            <w:r w:rsidRPr="00522C98">
              <w:rPr>
                <w:rFonts w:eastAsia="Calibri"/>
              </w:rPr>
              <w:t xml:space="preserve"> доцент кафедры Литературы и лингвистики Факультет</w:t>
            </w:r>
            <w:r>
              <w:rPr>
                <w:rFonts w:eastAsia="Calibri"/>
              </w:rPr>
              <w:t>а</w:t>
            </w:r>
            <w:r w:rsidRPr="00522C98">
              <w:rPr>
                <w:rFonts w:eastAsia="Calibri"/>
              </w:rPr>
              <w:t xml:space="preserve"> МАИС МГИК </w:t>
            </w:r>
          </w:p>
        </w:tc>
      </w:tr>
      <w:tr w:rsidR="00AC56A8" w:rsidRPr="00B27923" w:rsidTr="00D12DBB">
        <w:trPr>
          <w:trHeight w:val="87"/>
        </w:trPr>
        <w:tc>
          <w:tcPr>
            <w:tcW w:w="968" w:type="pct"/>
          </w:tcPr>
          <w:p w:rsidR="00AC56A8" w:rsidRPr="00B52F03" w:rsidRDefault="00AC56A8" w:rsidP="00D12DBB">
            <w:pPr>
              <w:spacing w:line="276" w:lineRule="auto"/>
              <w:jc w:val="both"/>
              <w:rPr>
                <w:b/>
                <w:lang w:eastAsia="zh-CN"/>
              </w:rPr>
            </w:pPr>
          </w:p>
        </w:tc>
        <w:tc>
          <w:tcPr>
            <w:tcW w:w="4032" w:type="pct"/>
            <w:gridSpan w:val="3"/>
          </w:tcPr>
          <w:p w:rsidR="00AC56A8" w:rsidRPr="00522C98" w:rsidRDefault="00AC56A8" w:rsidP="007634FF">
            <w:r w:rsidRPr="00522C98">
              <w:rPr>
                <w:b/>
              </w:rPr>
              <w:t>Фомина В.П.</w:t>
            </w: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B52F03" w:rsidRDefault="00AC56A8" w:rsidP="00D12DBB">
            <w:pPr>
              <w:spacing w:line="276" w:lineRule="auto"/>
              <w:rPr>
                <w:lang w:eastAsia="zh-CN"/>
              </w:rPr>
            </w:pP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522C98" w:rsidRDefault="00AC56A8" w:rsidP="007634FF">
            <w:pPr>
              <w:jc w:val="both"/>
              <w:rPr>
                <w:rFonts w:eastAsia="Calibri"/>
              </w:rPr>
            </w:pPr>
            <w:r>
              <w:rPr>
                <w:color w:val="333333"/>
                <w:shd w:val="clear" w:color="auto" w:fill="FFFFFF"/>
              </w:rPr>
              <w:t>Преподаватель</w:t>
            </w:r>
            <w:r w:rsidRPr="00522C98">
              <w:rPr>
                <w:rFonts w:eastAsia="Calibri"/>
              </w:rPr>
              <w:t xml:space="preserve"> кафедры Литературы и лингвистики Факультет</w:t>
            </w:r>
            <w:r>
              <w:rPr>
                <w:rFonts w:eastAsia="Calibri"/>
              </w:rPr>
              <w:t>а</w:t>
            </w:r>
            <w:r w:rsidRPr="00522C98">
              <w:rPr>
                <w:rFonts w:eastAsia="Calibri"/>
              </w:rPr>
              <w:t xml:space="preserve"> МАИС МГИК </w:t>
            </w: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EE255C" w:rsidRDefault="00AC56A8" w:rsidP="007634FF">
            <w:pPr>
              <w:spacing w:line="276" w:lineRule="auto"/>
              <w:rPr>
                <w:b/>
                <w:lang w:eastAsia="zh-CN"/>
              </w:rPr>
            </w:pPr>
            <w:r w:rsidRPr="00EE255C">
              <w:rPr>
                <w:b/>
              </w:rPr>
              <w:t xml:space="preserve">Песочин А.М.  </w:t>
            </w: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B52F03" w:rsidRDefault="00AC56A8" w:rsidP="00D12DBB">
            <w:pPr>
              <w:spacing w:line="276" w:lineRule="auto"/>
              <w:rPr>
                <w:lang w:eastAsia="zh-CN"/>
              </w:rPr>
            </w:pPr>
          </w:p>
        </w:tc>
      </w:tr>
      <w:tr w:rsidR="00AC56A8" w:rsidRPr="00B27923" w:rsidTr="00D12DBB">
        <w:tc>
          <w:tcPr>
            <w:tcW w:w="5000" w:type="pct"/>
            <w:gridSpan w:val="4"/>
          </w:tcPr>
          <w:p w:rsidR="00AC56A8" w:rsidRPr="00B52F03" w:rsidRDefault="00AC56A8" w:rsidP="00D12DBB">
            <w:pPr>
              <w:spacing w:line="276" w:lineRule="auto"/>
              <w:jc w:val="both"/>
              <w:rPr>
                <w:lang w:eastAsia="zh-CN"/>
              </w:rPr>
            </w:pPr>
          </w:p>
        </w:tc>
      </w:tr>
      <w:tr w:rsidR="00AC56A8" w:rsidRPr="00B27923" w:rsidTr="00D12DBB">
        <w:tc>
          <w:tcPr>
            <w:tcW w:w="5000" w:type="pct"/>
            <w:gridSpan w:val="4"/>
          </w:tcPr>
          <w:p w:rsidR="00AC56A8" w:rsidRPr="00B52F03" w:rsidRDefault="00AC56A8" w:rsidP="00D12DBB">
            <w:pPr>
              <w:spacing w:line="276" w:lineRule="auto"/>
              <w:rPr>
                <w:lang w:eastAsia="zh-CN"/>
              </w:rPr>
            </w:pPr>
            <w:r w:rsidRPr="00B52F03">
              <w:rPr>
                <w:lang w:eastAsia="zh-CN"/>
              </w:rPr>
              <w:t>УТВЕРЖДЕНО</w:t>
            </w:r>
          </w:p>
        </w:tc>
      </w:tr>
      <w:tr w:rsidR="00AC56A8" w:rsidRPr="00B27923" w:rsidTr="00D12DBB">
        <w:tc>
          <w:tcPr>
            <w:tcW w:w="1760" w:type="pct"/>
            <w:gridSpan w:val="2"/>
          </w:tcPr>
          <w:p w:rsidR="00AC56A8" w:rsidRPr="00B52F03" w:rsidRDefault="00AC56A8" w:rsidP="00D12DBB">
            <w:pPr>
              <w:spacing w:line="276" w:lineRule="auto"/>
              <w:jc w:val="both"/>
              <w:rPr>
                <w:lang w:eastAsia="zh-CN"/>
              </w:rPr>
            </w:pPr>
            <w:r w:rsidRPr="00B52F03">
              <w:rPr>
                <w:lang w:eastAsia="zh-CN"/>
              </w:rPr>
              <w:t>Протокол заседания кафедры</w:t>
            </w:r>
          </w:p>
        </w:tc>
        <w:tc>
          <w:tcPr>
            <w:tcW w:w="3240" w:type="pct"/>
            <w:gridSpan w:val="2"/>
          </w:tcPr>
          <w:p w:rsidR="00AC56A8" w:rsidRPr="00B52F03" w:rsidRDefault="00AC56A8" w:rsidP="00D12DBB">
            <w:pPr>
              <w:spacing w:line="276" w:lineRule="auto"/>
              <w:rPr>
                <w:lang w:eastAsia="zh-CN"/>
              </w:rPr>
            </w:pPr>
            <w:r w:rsidRPr="00B52F03">
              <w:rPr>
                <w:lang w:eastAsia="zh-CN"/>
              </w:rPr>
              <w:t>Оркестрового исполнительства и дирижирования Факультета искусств МГИК</w:t>
            </w:r>
          </w:p>
        </w:tc>
      </w:tr>
      <w:tr w:rsidR="00AC56A8" w:rsidRPr="00B27923" w:rsidTr="00D12DBB">
        <w:tc>
          <w:tcPr>
            <w:tcW w:w="1760" w:type="pct"/>
            <w:gridSpan w:val="2"/>
          </w:tcPr>
          <w:p w:rsidR="00AC56A8" w:rsidRPr="00B27923" w:rsidRDefault="00F0539D" w:rsidP="00D12DBB">
            <w:pPr>
              <w:spacing w:line="276" w:lineRule="auto"/>
              <w:jc w:val="both"/>
              <w:rPr>
                <w:lang w:eastAsia="zh-CN"/>
              </w:rPr>
            </w:pPr>
            <w:r>
              <w:rPr>
                <w:lang w:eastAsia="zh-CN"/>
              </w:rPr>
              <w:t>№ 9 от «07» апреля 2022 г.</w:t>
            </w:r>
          </w:p>
        </w:tc>
        <w:tc>
          <w:tcPr>
            <w:tcW w:w="3240" w:type="pct"/>
            <w:gridSpan w:val="2"/>
          </w:tcPr>
          <w:p w:rsidR="00AC56A8" w:rsidRPr="00B27923" w:rsidRDefault="00AC56A8" w:rsidP="00D12DBB">
            <w:pPr>
              <w:spacing w:line="276" w:lineRule="auto"/>
              <w:jc w:val="right"/>
              <w:rPr>
                <w:lang w:eastAsia="zh-CN"/>
              </w:rPr>
            </w:pPr>
          </w:p>
        </w:tc>
      </w:tr>
    </w:tbl>
    <w:p w:rsidR="000F4C0D" w:rsidRDefault="000F4C0D"/>
    <w:p w:rsidR="000F4C0D" w:rsidRDefault="000F4C0D">
      <w:pPr>
        <w:spacing w:after="160" w:line="259" w:lineRule="auto"/>
      </w:pPr>
      <w:r>
        <w:br w:type="page"/>
      </w:r>
    </w:p>
    <w:p w:rsidR="000F4C0D" w:rsidRPr="00D46957" w:rsidRDefault="000F4C0D" w:rsidP="000F4C0D">
      <w:pPr>
        <w:jc w:val="both"/>
      </w:pPr>
      <w:r w:rsidRPr="00D46957">
        <w:rPr>
          <w:b/>
        </w:rPr>
        <w:lastRenderedPageBreak/>
        <w:t>Сущность и содержание самостоятельной работы студентов</w:t>
      </w:r>
    </w:p>
    <w:p w:rsidR="000F4C0D" w:rsidRPr="00D46957" w:rsidRDefault="000F4C0D" w:rsidP="000F4C0D">
      <w:pPr>
        <w:jc w:val="both"/>
        <w:rPr>
          <w:b/>
          <w:bCs/>
        </w:rPr>
      </w:pPr>
    </w:p>
    <w:p w:rsidR="000F4C0D" w:rsidRPr="00D46957" w:rsidRDefault="000F4C0D" w:rsidP="000F4C0D">
      <w:pPr>
        <w:shd w:val="clear" w:color="auto" w:fill="FFFFFF"/>
        <w:jc w:val="both"/>
      </w:pPr>
      <w:r w:rsidRPr="00D46957">
        <w:rPr>
          <w:color w:val="333333"/>
        </w:rPr>
        <w:t xml:space="preserve">        </w:t>
      </w:r>
      <w:r w:rsidRPr="00D46957">
        <w:t>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триады «знать, уметь, владеть» универсальных и общепрофессиональных компетенций, соответствующих выбранной профессии, профессиональному становлению и развитию будущих специалистов.</w:t>
      </w:r>
      <w:r w:rsidRPr="00D46957">
        <w:rPr>
          <w:b/>
        </w:rPr>
        <w:t xml:space="preserve">                                                                                                 </w:t>
      </w:r>
    </w:p>
    <w:p w:rsidR="000F4C0D" w:rsidRPr="00D46957" w:rsidRDefault="000F4C0D" w:rsidP="000F4C0D">
      <w:pPr>
        <w:ind w:firstLine="567"/>
        <w:jc w:val="both"/>
      </w:pPr>
      <w:r w:rsidRPr="00D46957">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0F4C0D" w:rsidRPr="00D46957" w:rsidRDefault="000F4C0D" w:rsidP="000F4C0D">
      <w:pPr>
        <w:ind w:firstLine="567"/>
        <w:jc w:val="both"/>
      </w:pPr>
      <w:r w:rsidRPr="00D46957">
        <w:t>Основными признаками самостоятельной работы студентов принято считать:</w:t>
      </w:r>
    </w:p>
    <w:p w:rsidR="000F4C0D" w:rsidRPr="00D46957" w:rsidRDefault="000F4C0D" w:rsidP="000F4C0D">
      <w:pPr>
        <w:ind w:firstLine="567"/>
        <w:jc w:val="both"/>
      </w:pPr>
      <w:r w:rsidRPr="00D46957">
        <w:t>- наличие познавательной или практической задачи, проблемного вопроса или задачи и особого времени на их выполнение;</w:t>
      </w:r>
    </w:p>
    <w:p w:rsidR="000F4C0D" w:rsidRPr="00D46957" w:rsidRDefault="000F4C0D" w:rsidP="000F4C0D">
      <w:pPr>
        <w:ind w:firstLine="567"/>
        <w:jc w:val="both"/>
      </w:pPr>
      <w:r w:rsidRPr="00D46957">
        <w:t>- проявление умственного напряжения мысли обучаемых для правильного и наилучшего выполнения того или иного действия;</w:t>
      </w:r>
    </w:p>
    <w:p w:rsidR="000F4C0D" w:rsidRPr="00D46957" w:rsidRDefault="000F4C0D" w:rsidP="000F4C0D">
      <w:pPr>
        <w:ind w:firstLine="567"/>
        <w:jc w:val="both"/>
      </w:pPr>
      <w:r w:rsidRPr="00D46957">
        <w:t>- проявление сознательности, самостоятельности и активности студентов в процессе решения поставленных задач;</w:t>
      </w:r>
    </w:p>
    <w:p w:rsidR="000F4C0D" w:rsidRPr="00D46957" w:rsidRDefault="000F4C0D" w:rsidP="000F4C0D">
      <w:pPr>
        <w:ind w:firstLine="567"/>
        <w:jc w:val="both"/>
      </w:pPr>
      <w:r w:rsidRPr="00D46957">
        <w:t>- владение навыками самостоятельной работы;</w:t>
      </w:r>
    </w:p>
    <w:p w:rsidR="000F4C0D" w:rsidRPr="00D46957" w:rsidRDefault="000F4C0D" w:rsidP="000F4C0D">
      <w:pPr>
        <w:ind w:firstLine="567"/>
        <w:jc w:val="both"/>
      </w:pPr>
      <w:r w:rsidRPr="00D46957">
        <w:t>- осуществление управления и самоуправления самостоятельной познавательной и практической деятельностью студентов.</w:t>
      </w:r>
    </w:p>
    <w:p w:rsidR="000F4C0D" w:rsidRPr="00D46957" w:rsidRDefault="000F4C0D" w:rsidP="000F4C0D">
      <w:pPr>
        <w:ind w:firstLine="567"/>
        <w:jc w:val="both"/>
      </w:pPr>
      <w:r w:rsidRPr="00D46957">
        <w:t xml:space="preserve">Ядром самостоятельной работы, исходным моментом ее конструирования является познавательная или практическая задача. Именно наличие задачи обуславливает весь процесс самостоятельной работы: предусматривает самостоятельную деятельность студентов по ее решению. </w:t>
      </w:r>
    </w:p>
    <w:p w:rsidR="000F4C0D" w:rsidRPr="00D46957" w:rsidRDefault="000F4C0D" w:rsidP="000F4C0D">
      <w:pPr>
        <w:ind w:firstLine="567"/>
        <w:jc w:val="both"/>
      </w:pPr>
      <w:r w:rsidRPr="00D46957">
        <w:t>В различных формах учебного процесса самостоятельность обучаемых проявляется по-разному: от простого воспроизведения до высокого уровня творческой активности. В самостоятельной работе по иностранному языку используется</w:t>
      </w:r>
      <w:r w:rsidRPr="00D46957">
        <w:rPr>
          <w:b/>
        </w:rPr>
        <w:t xml:space="preserve"> </w:t>
      </w:r>
      <w:r w:rsidRPr="00D46957">
        <w:t>третий творческий уровень активности, когда студент пытается применить знания в новой ситуации. По характеру управления - это самостоятельная деятельность лишь иногда гибко направляемая преподавателем.</w:t>
      </w:r>
    </w:p>
    <w:p w:rsidR="000F4C0D" w:rsidRPr="00D46957" w:rsidRDefault="000F4C0D" w:rsidP="000F4C0D">
      <w:pPr>
        <w:ind w:firstLine="567"/>
        <w:jc w:val="both"/>
      </w:pPr>
      <w:r w:rsidRPr="00D46957">
        <w:t xml:space="preserve">В самостоятельной работе студентов по решению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0F4C0D" w:rsidRPr="00D46957" w:rsidRDefault="000F4C0D" w:rsidP="000F4C0D">
      <w:pPr>
        <w:ind w:firstLine="567"/>
        <w:jc w:val="both"/>
      </w:pPr>
      <w:r w:rsidRPr="00D46957">
        <w:t xml:space="preserve">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 просмотре, прослушивании,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0F4C0D" w:rsidRPr="00D46957" w:rsidRDefault="000F4C0D" w:rsidP="000F4C0D">
      <w:pPr>
        <w:jc w:val="both"/>
      </w:pPr>
      <w:r w:rsidRPr="00D46957">
        <w:rPr>
          <w:bCs/>
        </w:rPr>
        <w:t xml:space="preserve">     </w:t>
      </w:r>
      <w:r w:rsidRPr="00D46957">
        <w:t xml:space="preserve">Универсальные </w:t>
      </w:r>
      <w:r w:rsidRPr="00D46957">
        <w:rPr>
          <w:bCs/>
          <w:iCs/>
        </w:rPr>
        <w:t>компетенции</w:t>
      </w:r>
      <w:r w:rsidRPr="00D46957">
        <w:t xml:space="preserve"> (УК), формируемые при изучении курса иностранного языка в неязыковом</w:t>
      </w:r>
      <w:r w:rsidRPr="00D46957">
        <w:rPr>
          <w:color w:val="000000"/>
        </w:rPr>
        <w:t xml:space="preserve"> ВУЗе, основаны на коммуникативных языковых компетенциях, таких как лингвистическая, социолингвистическая, социокультурная, стратегическая, дискурсивная и социальная компетенции. Они реализуются в основных видах речевой деятельности: продуктивной (говорение, письмо) и репродуктивной (</w:t>
      </w:r>
      <w:r w:rsidRPr="00D46957">
        <w:rPr>
          <w:vanish/>
          <w:color w:val="000000"/>
        </w:rPr>
        <w:t xml:space="preserve">продуктивной в основных видах речевой деятельности (говорение, чтение, аудирование </w:t>
      </w:r>
      <w:r w:rsidRPr="00D46957">
        <w:rPr>
          <w:color w:val="000000"/>
        </w:rPr>
        <w:t xml:space="preserve">чтение, аудирование), которые максимально  эффективно развиваются при </w:t>
      </w:r>
      <w:r w:rsidRPr="00D46957">
        <w:t xml:space="preserve">личностно-ориентированном  подходе к обучению, основанному на самостоятельной работе студентов. </w:t>
      </w:r>
      <w:r w:rsidRPr="00D46957">
        <w:rPr>
          <w:rFonts w:ascii="Times New Roman CYR" w:hAnsi="Times New Roman CYR" w:cs="Times New Roman CYR"/>
        </w:rPr>
        <w:t xml:space="preserve">Самостоятельная работа студентов по каждому направлению подготовки или специальности проводится в различных формах.  </w:t>
      </w:r>
    </w:p>
    <w:p w:rsidR="000F4C0D" w:rsidRPr="00D46957" w:rsidRDefault="000F4C0D" w:rsidP="000F4C0D">
      <w:pPr>
        <w:jc w:val="both"/>
      </w:pPr>
      <w:r w:rsidRPr="00D46957">
        <w:rPr>
          <w:b/>
          <w:bCs/>
        </w:rPr>
        <w:t xml:space="preserve">     </w:t>
      </w:r>
      <w:r w:rsidRPr="00D46957">
        <w:rPr>
          <w:rFonts w:ascii="Times New Roman CYR" w:eastAsia="Times New Roman CYR" w:hAnsi="Times New Roman CYR" w:cs="Times New Roman CYR"/>
          <w:b/>
          <w:bCs/>
        </w:rPr>
        <w:t xml:space="preserve"> </w:t>
      </w:r>
    </w:p>
    <w:p w:rsidR="000F4C0D" w:rsidRPr="00D46957" w:rsidRDefault="000F4C0D" w:rsidP="000F4C0D">
      <w:pPr>
        <w:jc w:val="center"/>
      </w:pPr>
      <w:r w:rsidRPr="00D46957">
        <w:rPr>
          <w:rFonts w:ascii="Times New Roman CYR" w:hAnsi="Times New Roman CYR" w:cs="Times New Roman CYR"/>
          <w:b/>
          <w:bCs/>
        </w:rPr>
        <w:lastRenderedPageBreak/>
        <w:t>Подготовка индивидуальной интерпретации текста (устной, письменной), устной темы</w:t>
      </w:r>
    </w:p>
    <w:p w:rsidR="000F4C0D" w:rsidRPr="00D46957" w:rsidRDefault="000F4C0D" w:rsidP="000F4C0D">
      <w:pPr>
        <w:jc w:val="center"/>
        <w:rPr>
          <w:rFonts w:ascii="Times New Roman CYR" w:hAnsi="Times New Roman CYR" w:cs="Times New Roman CYR"/>
          <w:b/>
          <w:bCs/>
        </w:rPr>
      </w:pPr>
    </w:p>
    <w:p w:rsidR="000F4C0D" w:rsidRPr="00D46957" w:rsidRDefault="000F4C0D" w:rsidP="000F4C0D">
      <w:pPr>
        <w:jc w:val="both"/>
      </w:pPr>
      <w:r w:rsidRPr="00D46957">
        <w:t xml:space="preserve">      Целью индивидуальной интерпретации текста (пересказа), рассказа устной темы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речи и письменной речи). </w:t>
      </w:r>
    </w:p>
    <w:p w:rsidR="000F4C0D" w:rsidRPr="00D46957" w:rsidRDefault="000F4C0D" w:rsidP="000F4C0D">
      <w:pPr>
        <w:jc w:val="both"/>
      </w:pPr>
      <w:r w:rsidRPr="00D46957">
        <w:t xml:space="preserve">      При пересказе (рассказе) создается собственная версия рассказа, однако очень важно использовать именно тот лексический и грамматический состав речи, который содержится в оригинальном тексте (уроке).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0F4C0D" w:rsidRPr="00D46957" w:rsidRDefault="000F4C0D" w:rsidP="000F4C0D">
      <w:pPr>
        <w:jc w:val="both"/>
      </w:pPr>
      <w:r w:rsidRPr="00D46957">
        <w:t xml:space="preserve">     Интерпретация оригинального аутентичного текста проходит в письменном и устном виде. Подготовка может состоять из следующих этапов:</w:t>
      </w:r>
    </w:p>
    <w:p w:rsidR="000F4C0D" w:rsidRPr="00D46957" w:rsidRDefault="000F4C0D" w:rsidP="000F4C0D">
      <w:pPr>
        <w:jc w:val="both"/>
      </w:pPr>
      <w:r w:rsidRPr="00D46957">
        <w:t xml:space="preserve">1. Внимательно прочтите рассказ, чтобы понять основное содержание. </w:t>
      </w:r>
    </w:p>
    <w:p w:rsidR="000F4C0D" w:rsidRPr="00D46957" w:rsidRDefault="000F4C0D" w:rsidP="000F4C0D">
      <w:pPr>
        <w:jc w:val="both"/>
      </w:pPr>
      <w:r w:rsidRPr="00D46957">
        <w:t xml:space="preserve">2. Прочтите текст еще раз, выделяя незнакомые слова и выражения, которые, по вашему мнению, препятствуют более детальному пониманию основной сюжетной линии. </w:t>
      </w:r>
    </w:p>
    <w:p w:rsidR="000F4C0D" w:rsidRPr="00D46957" w:rsidRDefault="000F4C0D" w:rsidP="000F4C0D">
      <w:pPr>
        <w:jc w:val="both"/>
      </w:pPr>
      <w:r w:rsidRPr="00D46957">
        <w:t>3. Выпишите и переведите выделенные слова и словосочетания.</w:t>
      </w:r>
    </w:p>
    <w:p w:rsidR="000F4C0D" w:rsidRPr="00D46957" w:rsidRDefault="000F4C0D" w:rsidP="000F4C0D">
      <w:pPr>
        <w:jc w:val="both"/>
      </w:pPr>
      <w:r w:rsidRPr="00D46957">
        <w:t>4. Если необходимо, актуализируйте грамматические правила.</w:t>
      </w:r>
    </w:p>
    <w:p w:rsidR="000F4C0D" w:rsidRPr="00D46957" w:rsidRDefault="000F4C0D" w:rsidP="000F4C0D">
      <w:pPr>
        <w:jc w:val="both"/>
      </w:pPr>
      <w:r w:rsidRPr="00D46957">
        <w:t xml:space="preserve">5. Составьте план рассказа устно или письменно. </w:t>
      </w:r>
    </w:p>
    <w:p w:rsidR="000F4C0D" w:rsidRPr="00D46957" w:rsidRDefault="000F4C0D" w:rsidP="000F4C0D">
      <w:pPr>
        <w:jc w:val="both"/>
      </w:pPr>
      <w:r w:rsidRPr="00D46957">
        <w:t>6. Ответьте на вопросы к тексту – эти предложения могут стать основой вашего пересказа.</w:t>
      </w:r>
    </w:p>
    <w:p w:rsidR="000F4C0D" w:rsidRPr="00D46957" w:rsidRDefault="000F4C0D" w:rsidP="000F4C0D">
      <w:pPr>
        <w:jc w:val="both"/>
      </w:pPr>
      <w:r w:rsidRPr="00D46957">
        <w:t xml:space="preserve">7. Проговорите вслух несколько раз вариант вашей собственной интерпретации или напишите собственную версию с обязательным использованием незнакомой лексики, содержащейся в аутентичном тексте, и выучите свой вариант наизусть. </w:t>
      </w:r>
      <w:r w:rsidRPr="00D46957">
        <w:rPr>
          <w:rFonts w:ascii="Times New Roman CYR" w:hAnsi="Times New Roman CYR" w:cs="Times New Roman CYR"/>
        </w:rPr>
        <w:t>Написанная версия пересказа является его письменной интерпретацией.</w:t>
      </w:r>
    </w:p>
    <w:p w:rsidR="000F4C0D" w:rsidRPr="00D46957" w:rsidRDefault="000F4C0D" w:rsidP="000F4C0D">
      <w:pPr>
        <w:jc w:val="both"/>
        <w:rPr>
          <w:rFonts w:ascii="Times New Roman CYR" w:hAnsi="Times New Roman CYR" w:cs="Times New Roman CYR"/>
        </w:rPr>
      </w:pPr>
    </w:p>
    <w:p w:rsidR="000F4C0D" w:rsidRPr="00D46957" w:rsidRDefault="000F4C0D" w:rsidP="000F4C0D">
      <w:pPr>
        <w:shd w:val="clear" w:color="auto" w:fill="FFFFFF"/>
        <w:ind w:firstLine="709"/>
      </w:pPr>
      <w:r w:rsidRPr="00D46957">
        <w:rPr>
          <w:b/>
        </w:rPr>
        <w:t xml:space="preserve">                  </w:t>
      </w:r>
      <w:r w:rsidRPr="00D46957">
        <w:rPr>
          <w:rFonts w:ascii="Times New Roman CYR" w:hAnsi="Times New Roman CYR" w:cs="Times New Roman CYR"/>
          <w:b/>
          <w:bCs/>
        </w:rPr>
        <w:t>Подготовка презентации (доклада) по теме</w:t>
      </w:r>
      <w:r w:rsidRPr="00D46957">
        <w:rPr>
          <w:b/>
        </w:rPr>
        <w:t xml:space="preserve"> </w:t>
      </w:r>
    </w:p>
    <w:p w:rsidR="000F4C0D" w:rsidRPr="00D46957" w:rsidRDefault="000F4C0D" w:rsidP="000F4C0D">
      <w:pPr>
        <w:shd w:val="clear" w:color="auto" w:fill="FFFFFF"/>
        <w:ind w:firstLine="709"/>
        <w:jc w:val="center"/>
        <w:rPr>
          <w:b/>
        </w:rPr>
      </w:pPr>
    </w:p>
    <w:p w:rsidR="000F4C0D" w:rsidRPr="00D46957" w:rsidRDefault="000F4C0D" w:rsidP="000F4C0D">
      <w:pPr>
        <w:jc w:val="both"/>
      </w:pPr>
      <w:r w:rsidRPr="00D46957">
        <w:rPr>
          <w:bCs/>
        </w:rPr>
        <w:t>Сообщение</w:t>
      </w:r>
      <w:r w:rsidRPr="00D46957">
        <w:rPr>
          <w:b/>
        </w:rPr>
        <w:t xml:space="preserve"> </w:t>
      </w:r>
      <w:r w:rsidRPr="00D46957">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 Доклад</w:t>
      </w:r>
      <w:r w:rsidRPr="00D46957">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0F4C0D" w:rsidRPr="00D46957" w:rsidRDefault="000F4C0D" w:rsidP="000F4C0D">
      <w:pPr>
        <w:pStyle w:val="c5"/>
        <w:spacing w:before="0" w:after="0"/>
        <w:ind w:firstLine="709"/>
        <w:jc w:val="both"/>
      </w:pPr>
      <w:r w:rsidRPr="00D46957">
        <w:rPr>
          <w:rStyle w:val="c1"/>
          <w:color w:val="000000"/>
        </w:rPr>
        <w:t>Цель доклада</w:t>
      </w:r>
      <w:r w:rsidRPr="00D46957">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D46957">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0F4C0D" w:rsidRPr="00D46957" w:rsidRDefault="000F4C0D" w:rsidP="000F4C0D">
      <w:pPr>
        <w:ind w:firstLine="709"/>
        <w:jc w:val="both"/>
      </w:pPr>
      <w:r w:rsidRPr="00D46957">
        <w:rPr>
          <w:bCs/>
        </w:rPr>
        <w:t>Работать над презентацией (докладом) рекомендуется в следующей последовательности:</w:t>
      </w:r>
    </w:p>
    <w:p w:rsidR="000F4C0D" w:rsidRPr="00D46957" w:rsidRDefault="000F4C0D" w:rsidP="000F4C0D">
      <w:pPr>
        <w:jc w:val="both"/>
      </w:pPr>
      <w:r w:rsidRPr="00D46957">
        <w:rPr>
          <w:bCs/>
        </w:rPr>
        <w:t xml:space="preserve">1. Изучить суть вопроса, при необходимости актуализировать лексику и грамматические правила. </w:t>
      </w:r>
      <w:r w:rsidRPr="00D46957">
        <w:t>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0F4C0D" w:rsidRPr="00D46957" w:rsidRDefault="000F4C0D" w:rsidP="000F4C0D">
      <w:pPr>
        <w:jc w:val="both"/>
      </w:pPr>
      <w:r w:rsidRPr="00D46957">
        <w:rPr>
          <w:bCs/>
        </w:rPr>
        <w:t xml:space="preserve">2. </w:t>
      </w:r>
      <w:r w:rsidRPr="00D46957">
        <w:t>Определить структуру доклада, которая должна включать введение, основную часть, где раскрываются главные пункты презентации, и заключение, в котором выступающий дает собственную оценку изложенной информации.</w:t>
      </w:r>
    </w:p>
    <w:p w:rsidR="000F4C0D" w:rsidRPr="00D46957" w:rsidRDefault="000F4C0D" w:rsidP="000F4C0D">
      <w:pPr>
        <w:jc w:val="both"/>
      </w:pPr>
      <w:r w:rsidRPr="00D46957">
        <w:rPr>
          <w:bCs/>
        </w:rPr>
        <w:lastRenderedPageBreak/>
        <w:t>3. При изложении материала использовать новые слова и выражения, посильные для запоминания;</w:t>
      </w:r>
    </w:p>
    <w:p w:rsidR="000F4C0D" w:rsidRPr="00D46957" w:rsidRDefault="000F4C0D" w:rsidP="000F4C0D">
      <w:pPr>
        <w:jc w:val="both"/>
      </w:pPr>
      <w:r w:rsidRPr="00D46957">
        <w:rPr>
          <w:bCs/>
        </w:rPr>
        <w:t>4. Проговорить информацию несколько раз для его представления, по возможности, без текстовой опоры.</w:t>
      </w:r>
    </w:p>
    <w:p w:rsidR="000F4C0D" w:rsidRPr="00D46957" w:rsidRDefault="000F4C0D" w:rsidP="000F4C0D">
      <w:pPr>
        <w:pStyle w:val="c5"/>
        <w:spacing w:before="0" w:after="0"/>
        <w:jc w:val="both"/>
      </w:pPr>
      <w:r w:rsidRPr="00D46957">
        <w:t>5.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0F4C0D" w:rsidRPr="00D46957" w:rsidRDefault="000F4C0D" w:rsidP="000F4C0D">
      <w:pPr>
        <w:tabs>
          <w:tab w:val="left" w:pos="7095"/>
        </w:tabs>
        <w:jc w:val="both"/>
      </w:pPr>
    </w:p>
    <w:p w:rsidR="000F4C0D" w:rsidRPr="00D46957" w:rsidRDefault="000F4C0D" w:rsidP="000F4C0D">
      <w:pPr>
        <w:tabs>
          <w:tab w:val="left" w:pos="7095"/>
        </w:tabs>
        <w:jc w:val="both"/>
      </w:pPr>
      <w:r w:rsidRPr="00D46957">
        <w:t xml:space="preserve">                           </w:t>
      </w:r>
    </w:p>
    <w:p w:rsidR="000F4C0D" w:rsidRPr="00D46957" w:rsidRDefault="000F4C0D" w:rsidP="000F4C0D">
      <w:pPr>
        <w:jc w:val="both"/>
      </w:pPr>
      <w:r w:rsidRPr="00D46957">
        <w:rPr>
          <w:rFonts w:ascii="Times New Roman CYR" w:eastAsia="Times New Roman CYR" w:hAnsi="Times New Roman CYR" w:cs="Times New Roman CYR"/>
        </w:rPr>
        <w:t xml:space="preserve">                             </w:t>
      </w:r>
      <w:r w:rsidRPr="00D46957">
        <w:rPr>
          <w:rFonts w:ascii="Times New Roman CYR" w:hAnsi="Times New Roman CYR" w:cs="Times New Roman CYR"/>
          <w:b/>
          <w:bCs/>
        </w:rPr>
        <w:t>Подготовка к тесту, контрольной работе</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pPr>
      <w:r w:rsidRPr="00D46957">
        <w:rPr>
          <w:rFonts w:ascii="Times New Roman CYR" w:eastAsia="Times New Roman CYR" w:hAnsi="Times New Roman CYR" w:cs="Times New Roman CYR"/>
        </w:rPr>
        <w:t xml:space="preserve">          </w:t>
      </w:r>
      <w:r w:rsidRPr="00D46957">
        <w:rPr>
          <w:rFonts w:ascii="Times New Roman CYR" w:hAnsi="Times New Roman CYR" w:cs="Times New Roman CYR"/>
        </w:rPr>
        <w:t>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0F4C0D" w:rsidRPr="00D46957" w:rsidRDefault="000F4C0D" w:rsidP="000F4C0D">
      <w:pPr>
        <w:jc w:val="both"/>
      </w:pPr>
      <w:r w:rsidRPr="00D46957">
        <w:rPr>
          <w:bCs/>
          <w:iCs/>
        </w:rPr>
        <w:t xml:space="preserve">        </w:t>
      </w:r>
      <w:r w:rsidRPr="00D46957">
        <w:rPr>
          <w:rFonts w:ascii="Times New Roman CYR" w:hAnsi="Times New Roman CYR" w:cs="Times New Roman CYR"/>
        </w:rPr>
        <w:t>Для эффективной подготовки к данным формам контроля можно использовать следующие этапы самостоятельной работы:</w:t>
      </w:r>
    </w:p>
    <w:p w:rsidR="000F4C0D" w:rsidRPr="00D46957" w:rsidRDefault="000F4C0D" w:rsidP="000F4C0D">
      <w:pPr>
        <w:jc w:val="both"/>
      </w:pPr>
      <w:r w:rsidRPr="00D46957">
        <w:t>1. Разделите учебный материал, который необходимо повторить, на части.</w:t>
      </w:r>
    </w:p>
    <w:p w:rsidR="000F4C0D" w:rsidRPr="00D46957" w:rsidRDefault="000F4C0D" w:rsidP="000F4C0D">
      <w:pPr>
        <w:jc w:val="both"/>
      </w:pPr>
      <w:r w:rsidRPr="00D46957">
        <w:t>2. Убедитесь, что понимаете содержание.</w:t>
      </w:r>
    </w:p>
    <w:p w:rsidR="000F4C0D" w:rsidRPr="00D46957" w:rsidRDefault="000F4C0D" w:rsidP="000F4C0D">
      <w:pPr>
        <w:jc w:val="both"/>
      </w:pPr>
      <w:r w:rsidRPr="00D46957">
        <w:t>3. Читайте вслух, одновременно записывая материал;  при этом используются разные виды памяти: зрительная, слуховая, дикционная, моторная.</w:t>
      </w:r>
    </w:p>
    <w:p w:rsidR="000F4C0D" w:rsidRPr="00D46957" w:rsidRDefault="000F4C0D" w:rsidP="000F4C0D">
      <w:pPr>
        <w:jc w:val="both"/>
      </w:pPr>
      <w:r w:rsidRPr="00D46957">
        <w:t xml:space="preserve">4. Проверьте себя. Пройдитесь мысленно по вопросам или пунктам. </w:t>
      </w:r>
    </w:p>
    <w:p w:rsidR="000F4C0D" w:rsidRPr="00D46957" w:rsidRDefault="000F4C0D" w:rsidP="000F4C0D">
      <w:pPr>
        <w:jc w:val="both"/>
      </w:pPr>
      <w:r w:rsidRPr="00D46957">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pPr>
      <w:r w:rsidRPr="00D46957">
        <w:rPr>
          <w:rFonts w:ascii="Times New Roman CYR" w:eastAsia="Times New Roman CYR" w:hAnsi="Times New Roman CYR" w:cs="Times New Roman CYR"/>
          <w:b/>
          <w:bCs/>
        </w:rPr>
        <w:t xml:space="preserve">       </w:t>
      </w:r>
      <w:r w:rsidRPr="00D46957">
        <w:rPr>
          <w:rFonts w:ascii="Times New Roman CYR" w:eastAsia="Times New Roman CYR" w:hAnsi="Times New Roman CYR" w:cs="Times New Roman CYR"/>
        </w:rPr>
        <w:t xml:space="preserve">                                 </w:t>
      </w:r>
      <w:r w:rsidRPr="00D46957">
        <w:rPr>
          <w:rFonts w:ascii="Times New Roman CYR" w:hAnsi="Times New Roman CYR" w:cs="Times New Roman CYR"/>
          <w:b/>
          <w:bCs/>
        </w:rPr>
        <w:t>Подготовка к зачету, экзамену</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pPr>
      <w:r w:rsidRPr="00D46957">
        <w:rPr>
          <w:rFonts w:ascii="Times New Roman CYR" w:hAnsi="Times New Roman CYR" w:cs="Times New Roman CYR"/>
        </w:rPr>
        <w:t xml:space="preserve">Цель проведения зачета или экзамена – осуществить промежуточный или итоговый контроль сформированности компетенций по направлению подготовки или специальности. При этом на зачете и экзамене определяется уровень владения языковыми компетенциями и разными видами речевой деятельности (чтения, аудирования, говорения, письма). </w:t>
      </w:r>
    </w:p>
    <w:p w:rsidR="000F4C0D" w:rsidRPr="00D46957" w:rsidRDefault="000F4C0D" w:rsidP="000F4C0D">
      <w:pPr>
        <w:jc w:val="both"/>
      </w:pPr>
      <w:r w:rsidRPr="00D46957">
        <w:rPr>
          <w:bCs/>
          <w:iCs/>
        </w:rPr>
        <w:t xml:space="preserve">                                             </w:t>
      </w:r>
      <w:r w:rsidRPr="00D46957">
        <w:rPr>
          <w:b/>
          <w:i/>
        </w:rPr>
        <w:t>Содержание зачета:</w:t>
      </w:r>
    </w:p>
    <w:p w:rsidR="000F4C0D" w:rsidRPr="00D46957" w:rsidRDefault="000F4C0D" w:rsidP="000F4C0D">
      <w:pPr>
        <w:jc w:val="both"/>
      </w:pPr>
      <w:r w:rsidRPr="00D46957">
        <w:t xml:space="preserve"> 1. Прочитать и пересказать на иностранном языке текст по специальности или по страноведению объемом 1 страницу. Время на подготовку – 20 мин.</w:t>
      </w:r>
    </w:p>
    <w:p w:rsidR="000F4C0D" w:rsidRPr="00D46957" w:rsidRDefault="000F4C0D" w:rsidP="000F4C0D">
      <w:pPr>
        <w:ind w:hanging="180"/>
        <w:jc w:val="both"/>
      </w:pPr>
      <w:r w:rsidRPr="00D46957">
        <w:t xml:space="preserve">  2. Беседа на деловые темы.</w:t>
      </w:r>
    </w:p>
    <w:p w:rsidR="000F4C0D" w:rsidRPr="00D46957" w:rsidRDefault="000F4C0D" w:rsidP="000F4C0D">
      <w:pPr>
        <w:rPr>
          <w:rFonts w:eastAsia="Calibri"/>
          <w:b/>
          <w:bCs/>
        </w:rPr>
      </w:pPr>
    </w:p>
    <w:p w:rsidR="000F4C0D" w:rsidRPr="00D46957" w:rsidRDefault="000F4C0D" w:rsidP="000F4C0D">
      <w:pPr>
        <w:jc w:val="both"/>
      </w:pPr>
      <w:r w:rsidRPr="00D46957">
        <w:t xml:space="preserve">                                           </w:t>
      </w:r>
      <w:r w:rsidRPr="00D46957">
        <w:rPr>
          <w:b/>
          <w:i/>
        </w:rPr>
        <w:t>Содержание экзамена:</w:t>
      </w:r>
    </w:p>
    <w:p w:rsidR="000F4C0D" w:rsidRPr="00D46957" w:rsidRDefault="000F4C0D" w:rsidP="000F4C0D">
      <w:pPr>
        <w:jc w:val="both"/>
      </w:pPr>
      <w:r w:rsidRPr="00D46957">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0F4C0D" w:rsidRPr="00D46957" w:rsidRDefault="000F4C0D" w:rsidP="000F4C0D">
      <w:pPr>
        <w:jc w:val="both"/>
      </w:pPr>
      <w:r w:rsidRPr="00D46957">
        <w:t>2. Прочитать и пересказать на иностранном языке текст по специальности или по страноведению объемом 1 страница. Время на подготовку – 30-40 мин.</w:t>
      </w:r>
    </w:p>
    <w:p w:rsidR="000F4C0D" w:rsidRPr="00D46957" w:rsidRDefault="000F4C0D" w:rsidP="000F4C0D">
      <w:pPr>
        <w:jc w:val="both"/>
      </w:pPr>
      <w:r w:rsidRPr="00D46957">
        <w:t>3. Прослушать (2 раза) текст на бытовую тему и передать его содержание на иностранном языке (письменно или устно).</w:t>
      </w:r>
    </w:p>
    <w:p w:rsidR="000F4C0D" w:rsidRPr="00D46957" w:rsidRDefault="000F4C0D" w:rsidP="000F4C0D">
      <w:pPr>
        <w:jc w:val="both"/>
      </w:pPr>
      <w:r w:rsidRPr="00D46957">
        <w:t>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0F4C0D" w:rsidRPr="00D46957" w:rsidRDefault="000F4C0D" w:rsidP="000F4C0D">
      <w:pPr>
        <w:jc w:val="both"/>
      </w:pPr>
      <w:r w:rsidRPr="00D46957">
        <w:t>5. Беседа на общую или профессиональную темы.</w:t>
      </w:r>
    </w:p>
    <w:p w:rsidR="000F4C0D" w:rsidRPr="00D46957" w:rsidRDefault="000F4C0D" w:rsidP="000F4C0D">
      <w:pPr>
        <w:jc w:val="both"/>
      </w:pPr>
      <w:r w:rsidRPr="00D46957">
        <w:t>При проведении промежуточного экзамена возможно сокращение количества заданий до четырех.</w:t>
      </w:r>
    </w:p>
    <w:p w:rsidR="000F4C0D" w:rsidRPr="00D46957" w:rsidRDefault="000F4C0D" w:rsidP="000F4C0D">
      <w:pPr>
        <w:jc w:val="both"/>
      </w:pPr>
      <w:r w:rsidRPr="00D46957">
        <w:rPr>
          <w:rFonts w:ascii="Times New Roman CYR" w:eastAsia="Times New Roman CYR" w:hAnsi="Times New Roman CYR" w:cs="Times New Roman CYR"/>
        </w:rPr>
        <w:lastRenderedPageBreak/>
        <w:t xml:space="preserve">         </w:t>
      </w:r>
      <w:r w:rsidRPr="00D46957">
        <w:rPr>
          <w:rFonts w:ascii="Times New Roman CYR" w:hAnsi="Times New Roman CYR" w:cs="Times New Roman CYR"/>
        </w:rPr>
        <w:t>Для эффективной подготовки к данным формам контроля можно использовать те же этапы самостоятельной работы, что и при подготовке к контрольной работе.</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rPr>
          <w:rFonts w:ascii="Times New Roman CYR" w:hAnsi="Times New Roman CYR" w:cs="Times New Roman CYR"/>
        </w:rPr>
      </w:pPr>
      <w:r w:rsidRPr="00D46957">
        <w:rPr>
          <w:rFonts w:ascii="Times New Roman CYR" w:eastAsia="Times New Roman CYR" w:hAnsi="Times New Roman CYR" w:cs="Times New Roman CYR"/>
          <w:b/>
          <w:bCs/>
        </w:rPr>
        <w:t xml:space="preserve">       </w:t>
      </w:r>
    </w:p>
    <w:p w:rsidR="000F4C0D" w:rsidRPr="00D46957" w:rsidRDefault="000F4C0D" w:rsidP="000F4C0D">
      <w:pPr>
        <w:tabs>
          <w:tab w:val="left" w:pos="4140"/>
        </w:tabs>
        <w:ind w:left="360"/>
        <w:jc w:val="center"/>
      </w:pPr>
    </w:p>
    <w:p w:rsidR="000F4C0D" w:rsidRPr="00D46957" w:rsidRDefault="000F4C0D" w:rsidP="000F4C0D">
      <w:pPr>
        <w:tabs>
          <w:tab w:val="left" w:pos="4140"/>
        </w:tabs>
        <w:ind w:left="360"/>
        <w:jc w:val="center"/>
      </w:pPr>
    </w:p>
    <w:p w:rsidR="000F4C0D" w:rsidRPr="00D46957" w:rsidRDefault="000F4C0D" w:rsidP="000F4C0D"/>
    <w:p w:rsidR="00E67761" w:rsidRDefault="00E67761"/>
    <w:sectPr w:rsidR="00E67761"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F9E" w:rsidRDefault="002C5F9E" w:rsidP="003B0C2A">
      <w:r>
        <w:separator/>
      </w:r>
    </w:p>
  </w:endnote>
  <w:endnote w:type="continuationSeparator" w:id="0">
    <w:p w:rsidR="002C5F9E" w:rsidRDefault="002C5F9E"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ЮЎм§Ў?Ўм"/>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B139EE">
          <w:rPr>
            <w:noProof/>
          </w:rPr>
          <w:t>5</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B233E3" w:rsidP="00131F4C">
    <w:pPr>
      <w:pStyle w:val="a5"/>
      <w:jc w:val="center"/>
    </w:pPr>
    <w:r>
      <w:rPr>
        <w:b/>
        <w:bCs/>
        <w:lang w:eastAsia="zh-CN"/>
      </w:rPr>
      <w:t xml:space="preserve">Химки - </w:t>
    </w:r>
    <w:r w:rsidR="00372DB3">
      <w:rPr>
        <w:b/>
        <w:bCs/>
        <w:lang w:eastAsia="zh-CN"/>
      </w:rPr>
      <w:t>2022</w:t>
    </w:r>
    <w:r>
      <w:rPr>
        <w:b/>
        <w:bCs/>
        <w:lang w:eastAsia="zh-CN"/>
      </w:rPr>
      <w:t xml:space="preserve">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F9E" w:rsidRDefault="002C5F9E" w:rsidP="003B0C2A">
      <w:r>
        <w:separator/>
      </w:r>
    </w:p>
  </w:footnote>
  <w:footnote w:type="continuationSeparator" w:id="0">
    <w:p w:rsidR="002C5F9E" w:rsidRDefault="002C5F9E"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A1EF0"/>
    <w:rsid w:val="000C56D4"/>
    <w:rsid w:val="000E15FD"/>
    <w:rsid w:val="000F4C0D"/>
    <w:rsid w:val="00102CC0"/>
    <w:rsid w:val="00107031"/>
    <w:rsid w:val="00131F4C"/>
    <w:rsid w:val="00153C78"/>
    <w:rsid w:val="001C3ED9"/>
    <w:rsid w:val="001E313C"/>
    <w:rsid w:val="001F32BF"/>
    <w:rsid w:val="00235905"/>
    <w:rsid w:val="0024393D"/>
    <w:rsid w:val="002516C6"/>
    <w:rsid w:val="00251C41"/>
    <w:rsid w:val="0025662F"/>
    <w:rsid w:val="002A500E"/>
    <w:rsid w:val="002C5F9E"/>
    <w:rsid w:val="003119FA"/>
    <w:rsid w:val="00361A21"/>
    <w:rsid w:val="00372DB3"/>
    <w:rsid w:val="00387DF9"/>
    <w:rsid w:val="003A5660"/>
    <w:rsid w:val="003A7A09"/>
    <w:rsid w:val="003B0C2A"/>
    <w:rsid w:val="003B1EF4"/>
    <w:rsid w:val="003C49B5"/>
    <w:rsid w:val="004167CE"/>
    <w:rsid w:val="00433AD3"/>
    <w:rsid w:val="00460765"/>
    <w:rsid w:val="00477BC6"/>
    <w:rsid w:val="004A57E2"/>
    <w:rsid w:val="004E1DBD"/>
    <w:rsid w:val="00575520"/>
    <w:rsid w:val="00596529"/>
    <w:rsid w:val="005B0FFC"/>
    <w:rsid w:val="005B5904"/>
    <w:rsid w:val="00655953"/>
    <w:rsid w:val="006A4A93"/>
    <w:rsid w:val="006B42DF"/>
    <w:rsid w:val="00760F55"/>
    <w:rsid w:val="00774E58"/>
    <w:rsid w:val="00785488"/>
    <w:rsid w:val="0079341A"/>
    <w:rsid w:val="00797DD0"/>
    <w:rsid w:val="007A6315"/>
    <w:rsid w:val="007C5773"/>
    <w:rsid w:val="007D7BD7"/>
    <w:rsid w:val="007F47BB"/>
    <w:rsid w:val="008140CD"/>
    <w:rsid w:val="008574B6"/>
    <w:rsid w:val="008A1522"/>
    <w:rsid w:val="008E5879"/>
    <w:rsid w:val="008E6889"/>
    <w:rsid w:val="00903F8B"/>
    <w:rsid w:val="00904514"/>
    <w:rsid w:val="0091773A"/>
    <w:rsid w:val="0093026E"/>
    <w:rsid w:val="00955326"/>
    <w:rsid w:val="009557A5"/>
    <w:rsid w:val="00984626"/>
    <w:rsid w:val="009A5EF1"/>
    <w:rsid w:val="009B432F"/>
    <w:rsid w:val="009C2F7D"/>
    <w:rsid w:val="00A3162E"/>
    <w:rsid w:val="00A87178"/>
    <w:rsid w:val="00A91D8E"/>
    <w:rsid w:val="00AC56A8"/>
    <w:rsid w:val="00AE0CD3"/>
    <w:rsid w:val="00AE367B"/>
    <w:rsid w:val="00B006BF"/>
    <w:rsid w:val="00B139EE"/>
    <w:rsid w:val="00B17CDA"/>
    <w:rsid w:val="00B233E3"/>
    <w:rsid w:val="00B81DD1"/>
    <w:rsid w:val="00B871FF"/>
    <w:rsid w:val="00BB6E81"/>
    <w:rsid w:val="00BC0755"/>
    <w:rsid w:val="00BC6059"/>
    <w:rsid w:val="00BE473D"/>
    <w:rsid w:val="00BE7CBD"/>
    <w:rsid w:val="00C0515B"/>
    <w:rsid w:val="00C1171E"/>
    <w:rsid w:val="00C31A2E"/>
    <w:rsid w:val="00C331C2"/>
    <w:rsid w:val="00C9785E"/>
    <w:rsid w:val="00CA72E6"/>
    <w:rsid w:val="00CF080E"/>
    <w:rsid w:val="00D20161"/>
    <w:rsid w:val="00D649ED"/>
    <w:rsid w:val="00DA3C63"/>
    <w:rsid w:val="00DA555E"/>
    <w:rsid w:val="00DA60DE"/>
    <w:rsid w:val="00E1027A"/>
    <w:rsid w:val="00E21B65"/>
    <w:rsid w:val="00E40466"/>
    <w:rsid w:val="00E67761"/>
    <w:rsid w:val="00E77E52"/>
    <w:rsid w:val="00E97B66"/>
    <w:rsid w:val="00ED312A"/>
    <w:rsid w:val="00EE0356"/>
    <w:rsid w:val="00F05133"/>
    <w:rsid w:val="00F0539D"/>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F4C0D"/>
  </w:style>
  <w:style w:type="character" w:customStyle="1" w:styleId="c3">
    <w:name w:val="c3"/>
    <w:basedOn w:val="a0"/>
    <w:rsid w:val="000F4C0D"/>
  </w:style>
  <w:style w:type="paragraph" w:customStyle="1" w:styleId="c5">
    <w:name w:val="c5"/>
    <w:basedOn w:val="a"/>
    <w:rsid w:val="000F4C0D"/>
    <w:pPr>
      <w:suppressAutoHyphens/>
      <w:spacing w:before="280" w:after="280"/>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F4C0D"/>
  </w:style>
  <w:style w:type="character" w:customStyle="1" w:styleId="c3">
    <w:name w:val="c3"/>
    <w:basedOn w:val="a0"/>
    <w:rsid w:val="000F4C0D"/>
  </w:style>
  <w:style w:type="paragraph" w:customStyle="1" w:styleId="c5">
    <w:name w:val="c5"/>
    <w:basedOn w:val="a"/>
    <w:rsid w:val="000F4C0D"/>
    <w:pPr>
      <w:suppressAutoHyphens/>
      <w:spacing w:before="280" w:after="280"/>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D7B38-3631-40AC-8E2D-A67618ED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6</Pages>
  <Words>1674</Words>
  <Characters>9542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74</cp:revision>
  <cp:lastPrinted>2019-06-01T12:16:00Z</cp:lastPrinted>
  <dcterms:created xsi:type="dcterms:W3CDTF">2019-01-25T12:18:00Z</dcterms:created>
  <dcterms:modified xsi:type="dcterms:W3CDTF">2022-11-07T14:38:00Z</dcterms:modified>
</cp:coreProperties>
</file>